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eastAsiaTheme="majorEastAsia"/>
          <w:caps/>
          <w:kern w:val="2"/>
          <w:sz w:val="21"/>
        </w:rPr>
        <w:id w:val="536078793"/>
      </w:sdtPr>
      <w:sdtEndPr>
        <w:rPr>
          <w:rFonts w:ascii="Times New Roman" w:hAnsi="Times New Roman" w:cs="Times New Roman" w:eastAsiaTheme="minorEastAsia"/>
          <w:caps w:val="0"/>
          <w:kern w:val="2"/>
          <w:sz w:val="21"/>
        </w:rPr>
      </w:sdtEndPr>
      <w:sdtContent>
        <w:tbl>
          <w:tblPr>
            <w:tblStyle w:val="6"/>
            <w:tblW w:w="8522" w:type="dxa"/>
            <w:jc w:val="center"/>
            <w:tblInd w:w="0" w:type="dxa"/>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trPr>
              <w:trHeight w:val="2880" w:hRule="atLeast"/>
              <w:jc w:val="center"/>
            </w:trPr>
            <w:tc>
              <w:tcPr>
                <w:tcW w:w="8522" w:type="dxa"/>
              </w:tcPr>
              <w:p>
                <w:pPr>
                  <w:pStyle w:val="8"/>
                  <w:jc w:val="center"/>
                  <w:rPr>
                    <w:rFonts w:ascii="Times New Roman" w:hAnsi="Times New Roman" w:cs="Times New Roman" w:eastAsiaTheme="majorEastAsia"/>
                    <w:caps/>
                  </w:rPr>
                </w:pPr>
              </w:p>
            </w:tc>
          </w:tr>
          <w:tr>
            <w:tblPrEx>
              <w:tblLayout w:type="fixed"/>
              <w:tblCellMar>
                <w:top w:w="0" w:type="dxa"/>
                <w:left w:w="108" w:type="dxa"/>
                <w:bottom w:w="0" w:type="dxa"/>
                <w:right w:w="108" w:type="dxa"/>
              </w:tblCellMar>
            </w:tblPrEx>
            <w:trPr>
              <w:trHeight w:val="1440" w:hRule="atLeast"/>
              <w:jc w:val="center"/>
            </w:trPr>
            <w:sdt>
              <w:sdtPr>
                <w:rPr>
                  <w:rFonts w:ascii="Times New Roman" w:hAnsi="Times New Roman" w:cs="Times New Roman" w:eastAsiaTheme="majorEastAsia"/>
                  <w:sz w:val="80"/>
                  <w:szCs w:val="80"/>
                </w:rPr>
                <w:alias w:val="标题"/>
                <w:id w:val="15524250"/>
                <w15:dataBinding w:prefixMappings="xmlns:ns0='http://schemas.openxmlformats.org/package/2006/metadata/core-properties' xmlns:ns1='http://purl.org/dc/elements/1.1/'" w:xpath="/ns0:coreProperties[1]/ns1:title[1]" w:storeItemID="{6C3C8BC8-F283-45AE-878A-BAB7291924A1}"/>
                <w:text/>
              </w:sdtPr>
              <w:sdtEndPr>
                <w:rPr>
                  <w:rFonts w:ascii="Times New Roman" w:hAnsi="Times New Roman" w:cs="Times New Roman" w:eastAsiaTheme="majorEastAsia"/>
                  <w:sz w:val="80"/>
                  <w:szCs w:val="80"/>
                </w:rPr>
              </w:sdtEndPr>
              <w:sdtContent>
                <w:tc>
                  <w:tcPr>
                    <w:tcW w:w="8522" w:type="dxa"/>
                    <w:tcBorders>
                      <w:bottom w:val="single" w:color="4F81BD" w:themeColor="accent1" w:sz="4" w:space="0"/>
                    </w:tcBorders>
                    <w:vAlign w:val="center"/>
                  </w:tcPr>
                  <w:p>
                    <w:pPr>
                      <w:pStyle w:val="8"/>
                      <w:jc w:val="center"/>
                      <w:rPr>
                        <w:rFonts w:ascii="Times New Roman" w:hAnsi="Times New Roman" w:cs="Times New Roman"/>
                        <w:sz w:val="80"/>
                        <w:szCs w:val="80"/>
                      </w:rPr>
                    </w:pPr>
                    <w:r>
                      <w:rPr>
                        <w:rFonts w:hint="eastAsia" w:ascii="Times New Roman" w:hAnsi="Times New Roman" w:cs="Times New Roman" w:eastAsiaTheme="majorEastAsia"/>
                        <w:sz w:val="80"/>
                        <w:szCs w:val="80"/>
                        <w:lang w:eastAsia="zh-CN"/>
                      </w:rPr>
                      <w:t xml:space="preserve">2015年东莞市军队离休退休干部休养所部门决算   </w:t>
                    </w:r>
                  </w:p>
                  <w:p>
                    <w:pPr>
                      <w:pStyle w:val="8"/>
                      <w:jc w:val="center"/>
                      <w:rPr>
                        <w:rFonts w:ascii="Times New Roman" w:hAnsi="Times New Roman" w:cs="Times New Roman" w:eastAsiaTheme="majorEastAsia"/>
                        <w:sz w:val="80"/>
                        <w:szCs w:val="80"/>
                      </w:rPr>
                    </w:pPr>
                  </w:p>
                </w:tc>
              </w:sdtContent>
            </w:sdt>
          </w:tr>
          <w:tr>
            <w:tblPrEx>
              <w:tblLayout w:type="fixed"/>
              <w:tblCellMar>
                <w:top w:w="0" w:type="dxa"/>
                <w:left w:w="108" w:type="dxa"/>
                <w:bottom w:w="0" w:type="dxa"/>
                <w:right w:w="108" w:type="dxa"/>
              </w:tblCellMar>
            </w:tblPrEx>
            <w:trPr>
              <w:trHeight w:val="720" w:hRule="atLeast"/>
              <w:jc w:val="center"/>
            </w:trPr>
            <w:tc>
              <w:tcPr>
                <w:tcW w:w="8522" w:type="dxa"/>
                <w:tcBorders>
                  <w:top w:val="single" w:color="4F81BD" w:themeColor="accent1" w:sz="4" w:space="0"/>
                </w:tcBorders>
                <w:vAlign w:val="center"/>
              </w:tcPr>
              <w:p>
                <w:pPr>
                  <w:pStyle w:val="8"/>
                  <w:jc w:val="center"/>
                  <w:rPr>
                    <w:rFonts w:ascii="Times New Roman" w:hAnsi="Times New Roman" w:cs="Times New Roman" w:eastAsiaTheme="majorEastAsia"/>
                    <w:sz w:val="44"/>
                    <w:szCs w:val="44"/>
                  </w:rPr>
                </w:pPr>
              </w:p>
            </w:tc>
          </w:tr>
          <w:tr>
            <w:tblPrEx>
              <w:tblLayout w:type="fixed"/>
              <w:tblCellMar>
                <w:top w:w="0" w:type="dxa"/>
                <w:left w:w="108" w:type="dxa"/>
                <w:bottom w:w="0" w:type="dxa"/>
                <w:right w:w="108" w:type="dxa"/>
              </w:tblCellMar>
            </w:tblPrEx>
            <w:trPr>
              <w:trHeight w:val="360" w:hRule="atLeast"/>
              <w:jc w:val="center"/>
            </w:trPr>
            <w:tc>
              <w:tcPr>
                <w:tcW w:w="8522" w:type="dxa"/>
                <w:vAlign w:val="center"/>
              </w:tcPr>
              <w:p>
                <w:pPr>
                  <w:pStyle w:val="8"/>
                  <w:jc w:val="center"/>
                  <w:rPr>
                    <w:rFonts w:ascii="Times New Roman" w:hAnsi="Times New Roman" w:cs="Times New Roman"/>
                  </w:rPr>
                </w:pPr>
              </w:p>
            </w:tc>
          </w:tr>
          <w:tr>
            <w:tblPrEx>
              <w:tblLayout w:type="fixed"/>
              <w:tblCellMar>
                <w:top w:w="0" w:type="dxa"/>
                <w:left w:w="108" w:type="dxa"/>
                <w:bottom w:w="0" w:type="dxa"/>
                <w:right w:w="108" w:type="dxa"/>
              </w:tblCellMar>
            </w:tblPrEx>
            <w:trPr>
              <w:trHeight w:val="360" w:hRule="atLeast"/>
              <w:jc w:val="center"/>
            </w:trPr>
            <w:tc>
              <w:tcPr>
                <w:tcW w:w="8522" w:type="dxa"/>
                <w:vAlign w:val="center"/>
              </w:tcPr>
              <w:p>
                <w:pPr>
                  <w:pStyle w:val="8"/>
                  <w:jc w:val="center"/>
                  <w:rPr>
                    <w:rFonts w:ascii="Times New Roman" w:hAnsi="Times New Roman" w:cs="Times New Roman"/>
                    <w:b/>
                    <w:bCs/>
                  </w:rPr>
                </w:pP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sdtContent>
    </w:sdt>
    <w:p>
      <w:pPr>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目录</w:t>
      </w:r>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ascii="Times New Roman" w:hAnsi="Times New Roman" w:eastAsia="黑体" w:cs="Times New Roman"/>
          <w:sz w:val="32"/>
          <w:szCs w:val="32"/>
        </w:rPr>
        <w:t>部门概况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一、部门主要职责</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二、部门决算单位构成</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三、人员情况</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5</w:t>
      </w:r>
      <w:r>
        <w:rPr>
          <w:rFonts w:ascii="Times New Roman" w:hAnsi="Times New Roman" w:eastAsia="黑体" w:cs="Times New Roman"/>
          <w:sz w:val="32"/>
          <w:szCs w:val="32"/>
        </w:rPr>
        <w:t>年部门</w:t>
      </w:r>
      <w:r>
        <w:rPr>
          <w:rFonts w:hint="eastAsia" w:ascii="Times New Roman" w:hAnsi="Times New Roman" w:eastAsia="黑体" w:cs="Times New Roman"/>
          <w:sz w:val="32"/>
          <w:szCs w:val="32"/>
        </w:rPr>
        <w:t>决算</w:t>
      </w:r>
      <w:r>
        <w:rPr>
          <w:rFonts w:ascii="Times New Roman" w:hAnsi="Times New Roman" w:eastAsia="黑体" w:cs="Times New Roman"/>
          <w:sz w:val="32"/>
          <w:szCs w:val="32"/>
        </w:rPr>
        <w:t>情况说明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一、2015年度部门收入支出决算情况说明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二、2015年一般公共预算“三公”经费支出情况说明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三、其他重要事项的情况说明</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四、专业名词解释</w:t>
      </w:r>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第三部分 2015年部门决算表</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一、收入支出决算总表</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二、收入决算表</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三、支出决算表</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四、财政拨款收入支出决算总表</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五、一般公共预算财政拨款支出决算表（功能分类）</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六、一般公共预算财政拨款支出决算表（经济分类）</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七、一般公共预算财政拨款“三公”经费支出决算表</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八、政府性基金预算财政拨款收入支出决算表</w:t>
      </w:r>
    </w:p>
    <w:p>
      <w:pPr>
        <w:ind w:firstLine="640" w:firstLineChars="200"/>
        <w:jc w:val="left"/>
        <w:rPr>
          <w:rFonts w:ascii="仿宋_GB2312" w:hAnsi="Times New Roman" w:eastAsia="仿宋_GB2312" w:cs="Times New Roman"/>
          <w:sz w:val="32"/>
          <w:szCs w:val="32"/>
        </w:rPr>
      </w:pPr>
    </w:p>
    <w:p>
      <w:pPr>
        <w:ind w:firstLine="640" w:firstLineChars="200"/>
        <w:jc w:val="left"/>
        <w:rPr>
          <w:rFonts w:ascii="仿宋_GB2312" w:hAnsi="Times New Roman" w:eastAsia="仿宋_GB2312" w:cs="Times New Roman"/>
          <w:sz w:val="32"/>
          <w:szCs w:val="32"/>
        </w:rPr>
      </w:pPr>
    </w:p>
    <w:p>
      <w:pPr>
        <w:ind w:firstLine="640" w:firstLineChars="200"/>
        <w:jc w:val="left"/>
        <w:rPr>
          <w:rFonts w:ascii="仿宋_GB2312" w:hAnsi="Times New Roman" w:eastAsia="仿宋_GB2312" w:cs="Times New Roman"/>
          <w:sz w:val="32"/>
          <w:szCs w:val="32"/>
        </w:rPr>
      </w:pPr>
    </w:p>
    <w:p>
      <w:pPr>
        <w:ind w:firstLine="640" w:firstLineChars="200"/>
        <w:jc w:val="left"/>
        <w:rPr>
          <w:rFonts w:ascii="仿宋_GB2312" w:hAnsi="Times New Roman" w:eastAsia="仿宋_GB2312" w:cs="Times New Roman"/>
          <w:sz w:val="32"/>
          <w:szCs w:val="32"/>
        </w:rPr>
      </w:pPr>
    </w:p>
    <w:p>
      <w:pPr>
        <w:ind w:firstLine="640" w:firstLineChars="200"/>
        <w:jc w:val="left"/>
        <w:rPr>
          <w:rFonts w:ascii="仿宋_GB2312" w:hAnsi="Times New Roman" w:eastAsia="仿宋_GB2312" w:cs="Times New Roman"/>
          <w:sz w:val="32"/>
          <w:szCs w:val="32"/>
        </w:rPr>
      </w:pP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第一部分  部门概况</w:t>
      </w:r>
    </w:p>
    <w:p>
      <w:pPr>
        <w:pStyle w:val="13"/>
        <w:numPr>
          <w:ilvl w:val="0"/>
          <w:numId w:val="1"/>
        </w:numPr>
        <w:ind w:firstLineChars="0"/>
        <w:rPr>
          <w:rFonts w:ascii="Times New Roman" w:hAnsi="Times New Roman" w:eastAsia="黑体" w:cs="Times New Roman"/>
          <w:sz w:val="32"/>
          <w:szCs w:val="32"/>
        </w:rPr>
      </w:pPr>
      <w:r>
        <w:rPr>
          <w:rFonts w:ascii="Times New Roman" w:hAnsi="Times New Roman" w:eastAsia="黑体" w:cs="Times New Roman"/>
          <w:sz w:val="32"/>
          <w:szCs w:val="32"/>
        </w:rPr>
        <w:t>部门主要职责</w:t>
      </w:r>
    </w:p>
    <w:p>
      <w:pPr>
        <w:spacing w:line="600" w:lineRule="exact"/>
        <w:ind w:firstLine="31680" w:firstLineChars="200"/>
        <w:rPr>
          <w:rFonts w:ascii="仿宋_GB2312" w:eastAsia="仿宋_GB2312" w:cs="Times New Roman"/>
          <w:sz w:val="32"/>
          <w:szCs w:val="32"/>
        </w:rPr>
      </w:pPr>
      <w:r>
        <w:rPr>
          <w:rFonts w:hint="eastAsia" w:ascii="仿宋_GB2312" w:eastAsia="仿宋_GB2312" w:cs="仿宋_GB2312"/>
          <w:sz w:val="32"/>
          <w:szCs w:val="32"/>
        </w:rPr>
        <w:t>东莞市军队离休退休干部休养所主要职能是按照国家有关政策规定，落实军休干部政治待遇、生活待遇；维护军休干部合法权益，实现军休干部“老有所养，老有所医，老有所教，老有所学，老有所为，老有所乐”目标。</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w:t>
      </w:r>
      <w:r>
        <w:rPr>
          <w:rFonts w:hint="eastAsia" w:ascii="Times New Roman" w:hAnsi="Times New Roman" w:eastAsia="黑体" w:cs="Times New Roman"/>
          <w:sz w:val="32"/>
          <w:szCs w:val="32"/>
        </w:rPr>
        <w:t>决算</w:t>
      </w:r>
      <w:r>
        <w:rPr>
          <w:rFonts w:ascii="Times New Roman" w:hAnsi="Times New Roman" w:eastAsia="黑体" w:cs="Times New Roman"/>
          <w:sz w:val="32"/>
          <w:szCs w:val="32"/>
        </w:rPr>
        <w:t>单位构成</w:t>
      </w:r>
    </w:p>
    <w:p>
      <w:pPr>
        <w:spacing w:line="600" w:lineRule="exact"/>
        <w:ind w:firstLine="3168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东莞市军队离休退休干部休养所设事业单位</w:t>
      </w:r>
      <w:r>
        <w:rPr>
          <w:rFonts w:ascii="Times New Roman" w:hAnsi="Times New Roman" w:eastAsia="黑体" w:cs="Times New Roman"/>
          <w:b/>
          <w:bCs/>
          <w:sz w:val="32"/>
          <w:szCs w:val="32"/>
        </w:rPr>
        <w:t>1</w:t>
      </w:r>
      <w:r>
        <w:rPr>
          <w:rFonts w:hint="eastAsia" w:ascii="Times New Roman" w:hAnsi="Times New Roman" w:eastAsia="仿宋_GB2312" w:cs="仿宋_GB2312"/>
          <w:sz w:val="32"/>
          <w:szCs w:val="32"/>
        </w:rPr>
        <w:t>个，其中，内设</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个股室，分别为办公室、服务管理股（一）、服务管理股（二）。</w:t>
      </w:r>
    </w:p>
    <w:p>
      <w:pPr>
        <w:ind w:firstLine="31680" w:firstLineChars="15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本份部门决算仅包括东莞市军队离休退休干部休养所本级决算。</w:t>
      </w:r>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三、人员情况</w:t>
      </w:r>
    </w:p>
    <w:p>
      <w:pPr>
        <w:ind w:firstLine="3168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截至2015年底，</w:t>
      </w:r>
      <w:r>
        <w:rPr>
          <w:rFonts w:hint="eastAsia" w:ascii="Times New Roman" w:hAnsi="Times New Roman" w:eastAsia="仿宋_GB2312" w:cs="仿宋_GB2312"/>
          <w:sz w:val="32"/>
          <w:szCs w:val="32"/>
        </w:rPr>
        <w:t>东莞市</w:t>
      </w:r>
      <w:r>
        <w:rPr>
          <w:rFonts w:hint="eastAsia" w:ascii="仿宋_GB2312" w:eastAsia="仿宋_GB2312" w:cs="仿宋_GB2312"/>
          <w:sz w:val="32"/>
          <w:szCs w:val="32"/>
        </w:rPr>
        <w:t>东莞市军队离休退休干部休养所</w:t>
      </w:r>
      <w:r>
        <w:rPr>
          <w:rFonts w:hint="eastAsia" w:ascii="Times New Roman" w:hAnsi="Times New Roman" w:eastAsia="仿宋_GB2312" w:cs="仿宋_GB2312"/>
          <w:sz w:val="32"/>
          <w:szCs w:val="32"/>
        </w:rPr>
        <w:t>事业编制数</w:t>
      </w:r>
      <w:r>
        <w:rPr>
          <w:rFonts w:ascii="Times New Roman" w:hAnsi="Times New Roman" w:eastAsia="仿宋_GB2312" w:cs="Times New Roman"/>
          <w:sz w:val="32"/>
          <w:szCs w:val="32"/>
        </w:rPr>
        <w:t xml:space="preserve">11 </w:t>
      </w:r>
      <w:r>
        <w:rPr>
          <w:rFonts w:hint="eastAsia" w:ascii="Times New Roman" w:hAnsi="Times New Roman" w:eastAsia="仿宋_GB2312" w:cs="仿宋_GB2312"/>
          <w:sz w:val="32"/>
          <w:szCs w:val="32"/>
        </w:rPr>
        <w:t>名，其中财政供养的编内实有在职人员</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仿宋_GB2312"/>
          <w:sz w:val="32"/>
          <w:szCs w:val="32"/>
        </w:rPr>
        <w:t>人。另外，东莞市军队离休退休干部休养所</w:t>
      </w:r>
      <w:r>
        <w:rPr>
          <w:rFonts w:hint="eastAsia" w:ascii="仿宋_GB2312" w:hAnsi="Times New Roman" w:eastAsia="仿宋_GB2312" w:cs="Times New Roman"/>
          <w:kern w:val="0"/>
          <w:sz w:val="32"/>
          <w:szCs w:val="32"/>
        </w:rPr>
        <w:t>退休</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kern w:val="0"/>
          <w:sz w:val="32"/>
          <w:szCs w:val="32"/>
        </w:rPr>
        <w:t>人，</w:t>
      </w:r>
      <w:r>
        <w:rPr>
          <w:rFonts w:hint="eastAsia" w:ascii="Times New Roman" w:hAnsi="Times New Roman" w:eastAsia="仿宋_GB2312" w:cs="仿宋_GB2312"/>
          <w:sz w:val="32"/>
          <w:szCs w:val="32"/>
        </w:rPr>
        <w:t>临时聘用人员</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人，随军家属</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人。</w:t>
      </w: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5</w:t>
      </w:r>
      <w:r>
        <w:rPr>
          <w:rFonts w:ascii="Times New Roman" w:hAnsi="Times New Roman" w:eastAsia="黑体" w:cs="Times New Roman"/>
          <w:sz w:val="32"/>
          <w:szCs w:val="32"/>
        </w:rPr>
        <w:t>年部门</w:t>
      </w:r>
      <w:r>
        <w:rPr>
          <w:rFonts w:hint="eastAsia" w:ascii="Times New Roman" w:hAnsi="Times New Roman" w:eastAsia="黑体" w:cs="Times New Roman"/>
          <w:sz w:val="32"/>
          <w:szCs w:val="32"/>
        </w:rPr>
        <w:t>决算</w:t>
      </w:r>
      <w:r>
        <w:rPr>
          <w:rFonts w:ascii="Times New Roman" w:hAnsi="Times New Roman" w:eastAsia="黑体" w:cs="Times New Roman"/>
          <w:sz w:val="32"/>
          <w:szCs w:val="32"/>
        </w:rPr>
        <w:t>情况说明</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一、201</w:t>
      </w:r>
      <w:r>
        <w:rPr>
          <w:rFonts w:hint="eastAsia" w:ascii="Times New Roman" w:hAnsi="Times New Roman" w:eastAsia="黑体" w:cs="Times New Roman"/>
          <w:sz w:val="32"/>
          <w:szCs w:val="32"/>
        </w:rPr>
        <w:t>5年度部门收入支出决算情况的说明</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（一）总体说明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本部门2015年度收入总计</w:t>
      </w:r>
      <w:r>
        <w:rPr>
          <w:rFonts w:hint="eastAsia" w:ascii="仿宋_GB2312" w:hAnsi="Times New Roman" w:eastAsia="仿宋_GB2312" w:cs="Times New Roman"/>
          <w:sz w:val="32"/>
          <w:szCs w:val="32"/>
          <w:lang w:val="en-US" w:eastAsia="zh-CN"/>
        </w:rPr>
        <w:t>2277.32</w:t>
      </w:r>
      <w:r>
        <w:rPr>
          <w:rFonts w:hint="eastAsia" w:ascii="仿宋_GB2312" w:hAnsi="Times New Roman" w:eastAsia="仿宋_GB2312" w:cs="Times New Roman"/>
          <w:sz w:val="32"/>
          <w:szCs w:val="32"/>
        </w:rPr>
        <w:t>万元，支出总计</w:t>
      </w:r>
      <w:r>
        <w:rPr>
          <w:rFonts w:hint="eastAsia" w:ascii="仿宋_GB2312" w:hAnsi="Times New Roman" w:eastAsia="仿宋_GB2312" w:cs="Times New Roman"/>
          <w:sz w:val="32"/>
          <w:szCs w:val="32"/>
          <w:lang w:val="en-US" w:eastAsia="zh-CN"/>
        </w:rPr>
        <w:t>2277.32</w:t>
      </w:r>
      <w:r>
        <w:rPr>
          <w:rFonts w:hint="eastAsia" w:ascii="仿宋_GB2312" w:hAnsi="Times New Roman" w:eastAsia="仿宋_GB2312" w:cs="Times New Roman"/>
          <w:sz w:val="32"/>
          <w:szCs w:val="32"/>
        </w:rPr>
        <w:t>万元。收入方面，财政拨款收入</w:t>
      </w:r>
      <w:r>
        <w:rPr>
          <w:rFonts w:hint="eastAsia" w:ascii="仿宋_GB2312" w:hAnsi="Times New Roman" w:eastAsia="仿宋_GB2312" w:cs="Times New Roman"/>
          <w:sz w:val="32"/>
          <w:szCs w:val="32"/>
          <w:lang w:val="en-US" w:eastAsia="zh-CN"/>
        </w:rPr>
        <w:t>2015.93</w:t>
      </w:r>
      <w:r>
        <w:rPr>
          <w:rFonts w:hint="eastAsia" w:ascii="仿宋_GB2312" w:hAnsi="Times New Roman" w:eastAsia="仿宋_GB2312" w:cs="Times New Roman"/>
          <w:sz w:val="32"/>
          <w:szCs w:val="32"/>
        </w:rPr>
        <w:t>万元，占2015年度收入总计的</w:t>
      </w:r>
      <w:r>
        <w:rPr>
          <w:rFonts w:hint="eastAsia" w:ascii="仿宋_GB2312" w:hAnsi="Times New Roman" w:eastAsia="仿宋_GB2312" w:cs="Times New Roman"/>
          <w:sz w:val="32"/>
          <w:szCs w:val="32"/>
          <w:lang w:val="en-US" w:eastAsia="zh-CN"/>
        </w:rPr>
        <w:t>88.52</w:t>
      </w:r>
      <w:r>
        <w:rPr>
          <w:rFonts w:hint="eastAsia" w:ascii="仿宋_GB2312" w:hAnsi="Times New Roman" w:eastAsia="仿宋_GB2312" w:cs="Times New Roman"/>
          <w:sz w:val="32"/>
          <w:szCs w:val="32"/>
        </w:rPr>
        <w:t>%。支出方面，</w:t>
      </w:r>
      <w:r>
        <w:rPr>
          <w:rFonts w:hint="eastAsia" w:ascii="仿宋_GB2312" w:hAnsi="Times New Roman" w:eastAsia="仿宋_GB2312" w:cs="Times New Roman"/>
          <w:sz w:val="32"/>
          <w:szCs w:val="32"/>
          <w:lang w:eastAsia="zh-CN"/>
        </w:rPr>
        <w:t>社会保障和就业支出</w:t>
      </w:r>
      <w:r>
        <w:rPr>
          <w:rFonts w:hint="eastAsia" w:ascii="仿宋_GB2312" w:hAnsi="Times New Roman" w:eastAsia="仿宋_GB2312" w:cs="Times New Roman"/>
          <w:sz w:val="32"/>
          <w:szCs w:val="32"/>
          <w:lang w:val="en-US" w:eastAsia="zh-CN"/>
        </w:rPr>
        <w:t>2219.47万元，</w:t>
      </w:r>
      <w:r>
        <w:rPr>
          <w:rFonts w:hint="eastAsia" w:ascii="仿宋_GB2312" w:hAnsi="Times New Roman" w:eastAsia="仿宋_GB2312" w:cs="Times New Roman"/>
          <w:sz w:val="32"/>
          <w:szCs w:val="32"/>
        </w:rPr>
        <w:t>住房保障支出</w:t>
      </w:r>
      <w:r>
        <w:rPr>
          <w:rFonts w:hint="eastAsia" w:ascii="仿宋_GB2312" w:hAnsi="Times New Roman" w:eastAsia="仿宋_GB2312" w:cs="Times New Roman"/>
          <w:sz w:val="32"/>
          <w:szCs w:val="32"/>
          <w:lang w:val="en-US" w:eastAsia="zh-CN"/>
        </w:rPr>
        <w:t>10.05</w:t>
      </w:r>
      <w:r>
        <w:rPr>
          <w:rFonts w:hint="eastAsia" w:ascii="仿宋_GB2312" w:hAnsi="Times New Roman" w:eastAsia="仿宋_GB2312" w:cs="Times New Roman"/>
          <w:sz w:val="32"/>
          <w:szCs w:val="32"/>
        </w:rPr>
        <w:t>万元。</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（二）财政拨款支出决算情况说明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本部门2015年度财政拨款支出</w:t>
      </w:r>
      <w:r>
        <w:rPr>
          <w:rFonts w:hint="eastAsia" w:ascii="仿宋_GB2312" w:hAnsi="Times New Roman" w:eastAsia="仿宋_GB2312" w:cs="Times New Roman"/>
          <w:sz w:val="32"/>
          <w:szCs w:val="32"/>
          <w:lang w:val="en-US" w:eastAsia="zh-CN"/>
        </w:rPr>
        <w:t>2025.75</w:t>
      </w:r>
      <w:r>
        <w:rPr>
          <w:rFonts w:hint="eastAsia" w:ascii="仿宋_GB2312" w:hAnsi="Times New Roman" w:eastAsia="仿宋_GB2312" w:cs="Times New Roman"/>
          <w:sz w:val="32"/>
          <w:szCs w:val="32"/>
        </w:rPr>
        <w:t>万元，占本年支出合计的</w:t>
      </w:r>
      <w:r>
        <w:rPr>
          <w:rFonts w:hint="eastAsia" w:ascii="仿宋_GB2312" w:hAnsi="Times New Roman" w:eastAsia="仿宋_GB2312" w:cs="Times New Roman"/>
          <w:sz w:val="32"/>
          <w:szCs w:val="32"/>
          <w:lang w:val="en-US" w:eastAsia="zh-CN"/>
        </w:rPr>
        <w:t>88.95</w:t>
      </w:r>
      <w:r>
        <w:rPr>
          <w:rFonts w:hint="eastAsia" w:ascii="仿宋_GB2312" w:hAnsi="Times New Roman" w:eastAsia="仿宋_GB2312" w:cs="Times New Roman"/>
          <w:sz w:val="32"/>
          <w:szCs w:val="32"/>
        </w:rPr>
        <w:t>%。2015年度财政拨款支出主要用于以下方面：</w:t>
      </w:r>
      <w:r>
        <w:rPr>
          <w:rFonts w:hint="eastAsia" w:ascii="仿宋_GB2312" w:hAnsi="Times New Roman" w:eastAsia="仿宋_GB2312" w:cs="Times New Roman"/>
          <w:sz w:val="32"/>
          <w:szCs w:val="32"/>
          <w:lang w:eastAsia="zh-CN"/>
        </w:rPr>
        <w:t>社会保障和就业支出</w:t>
      </w:r>
      <w:r>
        <w:rPr>
          <w:rFonts w:hint="eastAsia" w:ascii="仿宋_GB2312" w:hAnsi="Times New Roman" w:eastAsia="仿宋_GB2312" w:cs="Times New Roman"/>
          <w:sz w:val="32"/>
          <w:szCs w:val="32"/>
          <w:lang w:val="en-US" w:eastAsia="zh-CN"/>
        </w:rPr>
        <w:t>2015.70万元，</w:t>
      </w:r>
      <w:r>
        <w:rPr>
          <w:rFonts w:hint="eastAsia" w:ascii="仿宋_GB2312" w:hAnsi="Times New Roman" w:eastAsia="仿宋_GB2312" w:cs="Times New Roman"/>
          <w:sz w:val="32"/>
          <w:szCs w:val="32"/>
        </w:rPr>
        <w:t>住房保障支出</w:t>
      </w:r>
      <w:r>
        <w:rPr>
          <w:rFonts w:hint="eastAsia" w:ascii="仿宋_GB2312" w:hAnsi="Times New Roman" w:eastAsia="仿宋_GB2312" w:cs="Times New Roman"/>
          <w:sz w:val="32"/>
          <w:szCs w:val="32"/>
          <w:lang w:val="en-US" w:eastAsia="zh-CN"/>
        </w:rPr>
        <w:t>10.05</w:t>
      </w:r>
      <w:r>
        <w:rPr>
          <w:rFonts w:hint="eastAsia" w:ascii="仿宋_GB2312" w:hAnsi="Times New Roman" w:eastAsia="仿宋_GB2312" w:cs="Times New Roman"/>
          <w:sz w:val="32"/>
          <w:szCs w:val="32"/>
        </w:rPr>
        <w:t>万元。</w:t>
      </w:r>
    </w:p>
    <w:p>
      <w:pPr>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5</w:t>
      </w:r>
      <w:r>
        <w:rPr>
          <w:rFonts w:ascii="Times New Roman" w:hAnsi="Times New Roman" w:eastAsia="黑体" w:cs="Times New Roman"/>
          <w:sz w:val="32"/>
          <w:szCs w:val="32"/>
        </w:rPr>
        <w:t>年一般公共预算“三公”经费</w:t>
      </w:r>
      <w:r>
        <w:rPr>
          <w:rFonts w:hint="eastAsia" w:ascii="Times New Roman" w:hAnsi="Times New Roman" w:eastAsia="黑体" w:cs="Times New Roman"/>
          <w:sz w:val="32"/>
          <w:szCs w:val="32"/>
        </w:rPr>
        <w:t>支出</w:t>
      </w:r>
      <w:r>
        <w:rPr>
          <w:rFonts w:ascii="Times New Roman" w:hAnsi="Times New Roman" w:eastAsia="黑体" w:cs="Times New Roman"/>
          <w:sz w:val="32"/>
          <w:szCs w:val="32"/>
        </w:rPr>
        <w:t>情况说明</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（一）“三公”经费预算与决算情况对比说明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本部门2015年度“三公”经费支出预算为</w:t>
      </w:r>
      <w:r>
        <w:rPr>
          <w:rFonts w:hint="eastAsia" w:ascii="仿宋_GB2312" w:hAnsi="Times New Roman" w:eastAsia="仿宋_GB2312" w:cs="Times New Roman"/>
          <w:sz w:val="32"/>
          <w:szCs w:val="32"/>
          <w:lang w:val="en-US" w:eastAsia="zh-CN"/>
        </w:rPr>
        <w:t>8.3</w:t>
      </w:r>
      <w:r>
        <w:rPr>
          <w:rFonts w:hint="eastAsia" w:ascii="仿宋_GB2312" w:hAnsi="Times New Roman" w:eastAsia="仿宋_GB2312" w:cs="Times New Roman"/>
          <w:sz w:val="32"/>
          <w:szCs w:val="32"/>
        </w:rPr>
        <w:t>万元，支出决算为</w:t>
      </w:r>
      <w:r>
        <w:rPr>
          <w:rFonts w:hint="eastAsia" w:ascii="仿宋_GB2312" w:hAnsi="Times New Roman" w:eastAsia="仿宋_GB2312" w:cs="Times New Roman"/>
          <w:sz w:val="32"/>
          <w:szCs w:val="32"/>
          <w:lang w:val="en-US" w:eastAsia="zh-CN"/>
        </w:rPr>
        <w:t>4.63</w:t>
      </w:r>
      <w:r>
        <w:rPr>
          <w:rFonts w:hint="eastAsia" w:ascii="仿宋_GB2312" w:hAnsi="Times New Roman" w:eastAsia="仿宋_GB2312" w:cs="Times New Roman"/>
          <w:sz w:val="32"/>
          <w:szCs w:val="32"/>
        </w:rPr>
        <w:t>万元，完成预算的</w:t>
      </w:r>
      <w:r>
        <w:rPr>
          <w:rFonts w:hint="eastAsia" w:ascii="仿宋_GB2312" w:hAnsi="Times New Roman" w:eastAsia="仿宋_GB2312" w:cs="Times New Roman"/>
          <w:sz w:val="32"/>
          <w:szCs w:val="32"/>
          <w:lang w:val="en-US" w:eastAsia="zh-CN"/>
        </w:rPr>
        <w:t>55.78</w:t>
      </w:r>
      <w:r>
        <w:rPr>
          <w:rFonts w:hint="eastAsia" w:ascii="仿宋_GB2312" w:hAnsi="Times New Roman" w:eastAsia="仿宋_GB2312" w:cs="Times New Roman"/>
          <w:sz w:val="32"/>
          <w:szCs w:val="32"/>
        </w:rPr>
        <w:t>%，其中：因公出国（境）费用</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3.8</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0.83</w:t>
      </w:r>
      <w:r>
        <w:rPr>
          <w:rFonts w:hint="eastAsia" w:ascii="仿宋_GB2312" w:hAnsi="Times New Roman" w:eastAsia="仿宋_GB2312" w:cs="Times New Roman"/>
          <w:sz w:val="32"/>
          <w:szCs w:val="32"/>
        </w:rPr>
        <w:t>万元，完成预算的</w:t>
      </w:r>
      <w:r>
        <w:rPr>
          <w:rFonts w:hint="eastAsia" w:ascii="仿宋_GB2312" w:hAnsi="Times New Roman" w:eastAsia="仿宋_GB2312" w:cs="Times New Roman"/>
          <w:sz w:val="32"/>
          <w:szCs w:val="32"/>
          <w:lang w:val="en-US" w:eastAsia="zh-CN"/>
        </w:rPr>
        <w:t>55.78</w:t>
      </w:r>
      <w:r>
        <w:rPr>
          <w:rFonts w:hint="eastAsia" w:ascii="仿宋_GB2312" w:hAnsi="Times New Roman" w:eastAsia="仿宋_GB2312" w:cs="Times New Roman"/>
          <w:sz w:val="32"/>
          <w:szCs w:val="32"/>
        </w:rPr>
        <w:t>%。</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2015年度“三公”经费支出决算少于预算的主要原因是：</w:t>
      </w:r>
      <w:r>
        <w:rPr>
          <w:rFonts w:hint="eastAsia" w:ascii="仿宋_GB2312" w:hAnsi="Times New Roman" w:eastAsia="仿宋_GB2312" w:cs="Times New Roman"/>
          <w:sz w:val="32"/>
          <w:szCs w:val="32"/>
          <w:lang w:eastAsia="zh-CN"/>
        </w:rPr>
        <w:t>严格执行八项规定，节约开支</w:t>
      </w:r>
      <w:r>
        <w:rPr>
          <w:rFonts w:hint="eastAsia" w:ascii="仿宋_GB2312" w:hAnsi="Times New Roman" w:eastAsia="仿宋_GB2312" w:cs="Times New Roman"/>
          <w:sz w:val="32"/>
          <w:szCs w:val="32"/>
        </w:rPr>
        <w:t>。</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（二）“三公”支出决算具体情况说明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2015年，本部门“三公”经费支出合计</w:t>
      </w:r>
      <w:r>
        <w:rPr>
          <w:rFonts w:hint="eastAsia" w:ascii="仿宋_GB2312" w:hAnsi="Times New Roman" w:eastAsia="仿宋_GB2312" w:cs="Times New Roman"/>
          <w:sz w:val="32"/>
          <w:szCs w:val="32"/>
          <w:lang w:val="en-US" w:eastAsia="zh-CN"/>
        </w:rPr>
        <w:t>4.63</w:t>
      </w:r>
      <w:r>
        <w:rPr>
          <w:rFonts w:hint="eastAsia" w:ascii="仿宋_GB2312" w:hAnsi="Times New Roman" w:eastAsia="仿宋_GB2312" w:cs="Times New Roman"/>
          <w:sz w:val="32"/>
          <w:szCs w:val="32"/>
        </w:rPr>
        <w:t>万元，其中：</w:t>
      </w:r>
    </w:p>
    <w:p>
      <w:pPr>
        <w:spacing w:line="600" w:lineRule="exact"/>
        <w:ind w:firstLine="627" w:firstLineChars="196"/>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（一）因公出国（境）费用支出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万元，全年出国（境）团组</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个、</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人次。</w:t>
      </w:r>
    </w:p>
    <w:p>
      <w:pPr>
        <w:spacing w:line="600" w:lineRule="exact"/>
        <w:ind w:firstLine="627" w:firstLineChars="196"/>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（二）公务用车购置数</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辆，公务用车购置费支出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（三）公务用车运行维护费支出</w:t>
      </w:r>
      <w:r>
        <w:rPr>
          <w:rFonts w:hint="eastAsia" w:ascii="仿宋_GB2312" w:hAnsi="Times New Roman" w:eastAsia="仿宋_GB2312" w:cs="Times New Roman"/>
          <w:sz w:val="32"/>
          <w:szCs w:val="32"/>
          <w:lang w:val="en-US" w:eastAsia="zh-CN"/>
        </w:rPr>
        <w:t>3.8</w:t>
      </w:r>
      <w:r>
        <w:rPr>
          <w:rFonts w:hint="eastAsia" w:ascii="仿宋_GB2312" w:hAnsi="Times New Roman" w:eastAsia="仿宋_GB2312" w:cs="Times New Roman"/>
          <w:sz w:val="32"/>
          <w:szCs w:val="32"/>
        </w:rPr>
        <w:t>万元，比2015年预算增加</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万元，增长</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%。截至2015年底，本单位公务用车保有量</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辆。</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（四）公务接待费支出</w:t>
      </w:r>
      <w:r>
        <w:rPr>
          <w:rFonts w:hint="eastAsia" w:ascii="仿宋_GB2312" w:hAnsi="Times New Roman" w:eastAsia="仿宋_GB2312" w:cs="Times New Roman"/>
          <w:sz w:val="32"/>
          <w:szCs w:val="32"/>
          <w:lang w:val="en-US" w:eastAsia="zh-CN"/>
        </w:rPr>
        <w:t>0.83</w:t>
      </w:r>
      <w:r>
        <w:rPr>
          <w:rFonts w:hint="eastAsia" w:ascii="仿宋_GB2312" w:hAnsi="Times New Roman" w:eastAsia="仿宋_GB2312" w:cs="Times New Roman"/>
          <w:sz w:val="32"/>
          <w:szCs w:val="32"/>
        </w:rPr>
        <w:t>万元，全年共接待</w:t>
      </w:r>
      <w:r>
        <w:rPr>
          <w:rFonts w:hint="eastAsia" w:ascii="仿宋_GB2312" w:hAnsi="Times New Roman" w:eastAsia="仿宋_GB2312" w:cs="Times New Roman"/>
          <w:sz w:val="32"/>
          <w:szCs w:val="32"/>
          <w:lang w:val="en-US" w:eastAsia="zh-CN"/>
        </w:rPr>
        <w:t>28</w:t>
      </w:r>
      <w:r>
        <w:rPr>
          <w:rFonts w:hint="eastAsia" w:ascii="仿宋_GB2312" w:hAnsi="Times New Roman" w:eastAsia="仿宋_GB2312" w:cs="Times New Roman"/>
          <w:sz w:val="32"/>
          <w:szCs w:val="32"/>
        </w:rPr>
        <w:t>批次、</w:t>
      </w:r>
      <w:r>
        <w:rPr>
          <w:rFonts w:hint="eastAsia" w:ascii="仿宋_GB2312" w:hAnsi="Times New Roman" w:eastAsia="仿宋_GB2312" w:cs="Times New Roman"/>
          <w:sz w:val="32"/>
          <w:szCs w:val="32"/>
          <w:lang w:val="en-US" w:eastAsia="zh-CN"/>
        </w:rPr>
        <w:t>58</w:t>
      </w:r>
      <w:r>
        <w:rPr>
          <w:rFonts w:hint="eastAsia" w:ascii="仿宋_GB2312" w:hAnsi="Times New Roman" w:eastAsia="仿宋_GB2312" w:cs="Times New Roman"/>
          <w:sz w:val="32"/>
          <w:szCs w:val="32"/>
        </w:rPr>
        <w:t>人次，比2015年预算减少</w:t>
      </w:r>
      <w:r>
        <w:rPr>
          <w:rFonts w:hint="eastAsia" w:ascii="仿宋_GB2312" w:hAnsi="Times New Roman" w:eastAsia="仿宋_GB2312" w:cs="Times New Roman"/>
          <w:sz w:val="32"/>
          <w:szCs w:val="32"/>
          <w:lang w:val="en-US" w:eastAsia="zh-CN"/>
        </w:rPr>
        <w:t>3.67</w:t>
      </w:r>
      <w:r>
        <w:rPr>
          <w:rFonts w:hint="eastAsia" w:ascii="仿宋_GB2312" w:hAnsi="Times New Roman" w:eastAsia="仿宋_GB2312" w:cs="Times New Roman"/>
          <w:sz w:val="32"/>
          <w:szCs w:val="32"/>
        </w:rPr>
        <w:t>万元，降低</w:t>
      </w:r>
      <w:r>
        <w:rPr>
          <w:rFonts w:hint="eastAsia" w:ascii="仿宋_GB2312" w:hAnsi="Times New Roman" w:eastAsia="仿宋_GB2312" w:cs="Times New Roman"/>
          <w:sz w:val="32"/>
          <w:szCs w:val="32"/>
          <w:lang w:val="en-US" w:eastAsia="zh-CN"/>
        </w:rPr>
        <w:t>81.56</w:t>
      </w:r>
      <w:r>
        <w:rPr>
          <w:rFonts w:hint="eastAsia" w:ascii="仿宋_GB2312" w:hAnsi="Times New Roman" w:eastAsia="仿宋_GB2312" w:cs="Times New Roman"/>
          <w:sz w:val="32"/>
          <w:szCs w:val="32"/>
        </w:rPr>
        <w:t>%。</w:t>
      </w:r>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三、其他重要事项的情况说明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（一）机关运行经费支出情况</w:t>
      </w:r>
      <w:bookmarkStart w:id="1" w:name="_GoBack"/>
      <w:bookmarkEnd w:id="1"/>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2015年，部门本级的机关运行经费财政拨款支出</w:t>
      </w:r>
      <w:r>
        <w:rPr>
          <w:rFonts w:hint="eastAsia" w:ascii="仿宋_GB2312" w:hAnsi="Times New Roman" w:eastAsia="仿宋_GB2312" w:cs="Times New Roman"/>
          <w:sz w:val="32"/>
          <w:szCs w:val="32"/>
          <w:lang w:val="en-US" w:eastAsia="zh-CN"/>
        </w:rPr>
        <w:t>78.54</w:t>
      </w:r>
      <w:r>
        <w:rPr>
          <w:rFonts w:hint="eastAsia" w:ascii="仿宋_GB2312" w:hAnsi="Times New Roman" w:eastAsia="仿宋_GB2312" w:cs="Times New Roman"/>
          <w:sz w:val="32"/>
          <w:szCs w:val="32"/>
        </w:rPr>
        <w:t>万元，主要是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（二）政府采购支出情</w:t>
      </w:r>
      <w:r>
        <w:rPr>
          <w:rFonts w:hint="eastAsia" w:ascii="Times New Roman" w:hAnsi="Times New Roman" w:eastAsia="仿宋_GB2312" w:cs="Times New Roman"/>
          <w:sz w:val="32"/>
          <w:szCs w:val="32"/>
        </w:rPr>
        <w:t>况</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2015年，部门本级的政府采购支出总额</w:t>
      </w:r>
      <w:r>
        <w:rPr>
          <w:rFonts w:hint="eastAsia" w:ascii="仿宋_GB2312" w:hAnsi="Times New Roman" w:eastAsia="仿宋_GB2312" w:cs="Times New Roman"/>
          <w:sz w:val="32"/>
          <w:szCs w:val="32"/>
          <w:lang w:val="en-US" w:eastAsia="zh-CN"/>
        </w:rPr>
        <w:t>5.48</w:t>
      </w:r>
      <w:r>
        <w:rPr>
          <w:rFonts w:hint="eastAsia" w:ascii="仿宋_GB2312" w:hAnsi="Times New Roman" w:eastAsia="仿宋_GB2312" w:cs="Times New Roman"/>
          <w:sz w:val="32"/>
          <w:szCs w:val="32"/>
        </w:rPr>
        <w:t>万元，其中：政府采购货物支出</w:t>
      </w:r>
      <w:r>
        <w:rPr>
          <w:rFonts w:hint="eastAsia" w:ascii="仿宋_GB2312" w:hAnsi="Times New Roman" w:eastAsia="仿宋_GB2312" w:cs="Times New Roman"/>
          <w:sz w:val="32"/>
          <w:szCs w:val="32"/>
          <w:lang w:val="en-US" w:eastAsia="zh-CN"/>
        </w:rPr>
        <w:t>2.43</w:t>
      </w:r>
      <w:r>
        <w:rPr>
          <w:rFonts w:hint="eastAsia" w:ascii="仿宋_GB2312" w:hAnsi="Times New Roman" w:eastAsia="仿宋_GB2312" w:cs="Times New Roman"/>
          <w:sz w:val="32"/>
          <w:szCs w:val="32"/>
        </w:rPr>
        <w:t>元，占</w:t>
      </w:r>
      <w:r>
        <w:rPr>
          <w:rFonts w:hint="eastAsia" w:ascii="仿宋_GB2312" w:hAnsi="Times New Roman" w:eastAsia="仿宋_GB2312" w:cs="Times New Roman"/>
          <w:sz w:val="32"/>
          <w:szCs w:val="32"/>
          <w:lang w:val="en-US" w:eastAsia="zh-CN"/>
        </w:rPr>
        <w:t>44.34</w:t>
      </w:r>
      <w:r>
        <w:rPr>
          <w:rFonts w:hint="eastAsia" w:ascii="仿宋_GB2312" w:hAnsi="Times New Roman" w:eastAsia="仿宋_GB2312" w:cs="Times New Roman"/>
          <w:sz w:val="32"/>
          <w:szCs w:val="32"/>
        </w:rPr>
        <w:t>%；政府采购服务支出</w:t>
      </w:r>
      <w:r>
        <w:rPr>
          <w:rFonts w:hint="eastAsia" w:ascii="仿宋_GB2312" w:hAnsi="Times New Roman" w:eastAsia="仿宋_GB2312" w:cs="Times New Roman"/>
          <w:sz w:val="32"/>
          <w:szCs w:val="32"/>
          <w:lang w:val="en-US" w:eastAsia="zh-CN"/>
        </w:rPr>
        <w:t>3.05</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55.66</w:t>
      </w:r>
      <w:r>
        <w:rPr>
          <w:rFonts w:hint="eastAsia" w:ascii="仿宋_GB2312" w:hAnsi="Times New Roman" w:eastAsia="仿宋_GB2312" w:cs="Times New Roman"/>
          <w:sz w:val="32"/>
          <w:szCs w:val="32"/>
        </w:rPr>
        <w:t>%。</w:t>
      </w:r>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四、专业名词解释</w:t>
      </w:r>
    </w:p>
    <w:p>
      <w:pPr>
        <w:ind w:firstLine="640" w:firstLineChars="200"/>
        <w:rPr>
          <w:rFonts w:ascii="仿宋_GB2312" w:hAnsi="Times New Roman" w:eastAsia="仿宋_GB2312" w:cs="Times New Roman"/>
          <w:sz w:val="32"/>
          <w:szCs w:val="32"/>
        </w:rPr>
      </w:pPr>
      <w:bookmarkStart w:id="0" w:name="4"/>
      <w:r>
        <w:rPr>
          <w:rFonts w:ascii="仿宋_GB2312" w:hAnsi="Times New Roman" w:eastAsia="仿宋_GB2312" w:cs="Times New Roman"/>
          <w:sz w:val="32"/>
          <w:szCs w:val="32"/>
        </w:rPr>
        <w:t>财政拨款收入：指</w:t>
      </w:r>
      <w:r>
        <w:rPr>
          <w:rFonts w:hint="eastAsia" w:ascii="仿宋_GB2312" w:hAnsi="Times New Roman" w:eastAsia="仿宋_GB2312" w:cs="Times New Roman"/>
          <w:sz w:val="32"/>
          <w:szCs w:val="32"/>
        </w:rPr>
        <w:t>市</w:t>
      </w:r>
      <w:r>
        <w:rPr>
          <w:rFonts w:ascii="仿宋_GB2312" w:hAnsi="Times New Roman" w:eastAsia="仿宋_GB2312" w:cs="Times New Roman"/>
          <w:sz w:val="32"/>
          <w:szCs w:val="32"/>
        </w:rPr>
        <w:t>财政当年拨付的资金。</w:t>
      </w:r>
      <w:bookmarkEnd w:id="0"/>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事业收入：指事业单位开展专业业务活动及辅助活动所取得的收入。</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其他收入：指除上述</w:t>
      </w:r>
      <w:r>
        <w:rPr>
          <w:rFonts w:hint="eastAsia" w:ascii="仿宋_GB2312" w:hAnsi="Times New Roman" w:eastAsia="仿宋_GB2312" w:cs="Times New Roman"/>
          <w:sz w:val="32"/>
          <w:szCs w:val="32"/>
        </w:rPr>
        <w:t>“财政拨款收入”、“事业收入”等</w:t>
      </w:r>
      <w:r>
        <w:rPr>
          <w:rFonts w:ascii="仿宋_GB2312" w:hAnsi="Times New Roman" w:eastAsia="仿宋_GB2312" w:cs="Times New Roman"/>
          <w:sz w:val="32"/>
          <w:szCs w:val="32"/>
        </w:rPr>
        <w:t>以外的收入。</w:t>
      </w:r>
      <w:r>
        <w:rPr>
          <w:rFonts w:hint="eastAsia" w:ascii="仿宋_GB2312" w:hAnsi="Times New Roman" w:eastAsia="仿宋_GB2312" w:cs="Times New Roman"/>
          <w:sz w:val="32"/>
          <w:szCs w:val="32"/>
        </w:rPr>
        <w:t>主要是银行</w:t>
      </w:r>
      <w:r>
        <w:rPr>
          <w:rFonts w:ascii="仿宋_GB2312" w:hAnsi="Times New Roman" w:eastAsia="仿宋_GB2312" w:cs="Times New Roman"/>
          <w:sz w:val="32"/>
          <w:szCs w:val="32"/>
        </w:rPr>
        <w:t>存款利息收入等。</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用事业基金弥补收支差额：指事业单位在当年的</w:t>
      </w:r>
      <w:r>
        <w:rPr>
          <w:rFonts w:hint="eastAsia" w:ascii="仿宋_GB2312" w:hAnsi="Times New Roman" w:eastAsia="仿宋_GB2312" w:cs="Times New Roman"/>
          <w:sz w:val="32"/>
          <w:szCs w:val="32"/>
        </w:rPr>
        <w:t>“财政拨款收入”、“事业收入”、“经营收入”、“其他收入”</w:t>
      </w:r>
      <w:r>
        <w:rPr>
          <w:rFonts w:ascii="仿宋_GB2312" w:hAnsi="Times New Roman" w:eastAsia="仿宋_GB2312" w:cs="Times New Roman"/>
          <w:sz w:val="32"/>
          <w:szCs w:val="32"/>
        </w:rPr>
        <w:t>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年初</w:t>
      </w:r>
      <w:r>
        <w:rPr>
          <w:rFonts w:ascii="仿宋_GB2312" w:hAnsi="Times New Roman" w:eastAsia="仿宋_GB2312" w:cs="Times New Roman"/>
          <w:sz w:val="32"/>
          <w:szCs w:val="32"/>
        </w:rPr>
        <w:t>结转和结余：指以前年度尚未完成、结转到本年按有关规定继续使用的资金。</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一般公共服务（类）财政事务（款）行政运行（项）：指本单位及参照公务员法管理的事业单位用于保障机构正常运行、开展日常工作的支出。</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一般公共服务（类）财政事务（款）一般行政管理事务（项）：指本单位及参照公务员法管理的事业单位开展决算编审、资产产权管理等未单独设置项级科目的专门性财政管理工作的项目支出。</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一般公共服务（类）财政事务（款）财政国库业务（项）：指本单位用于财政国库集中收付业务方面的项目支出。</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一般公共服务（类）财政事务（款）信息化建设（项）：指本单位用于信息化建设方面的项目支出。</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一般公共服务（类）财政事务（款）事业运行（项）：指用于保障机构正常运行、开展日常工作的基本支出。</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一般公共服务（类）财政事务（款）其他财政事务支出（项）：指本单位除上述项目外，开展其他财政事务方面专门性工作任务的项目支出。</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一般公共服务（类）组织事务（款）其他组织事务支出（项）：指用于中国共产党组织部门的其他事务支出。</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教育（类）职业教育（款）中专教育（项）：指本单位的教育支出。</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教育（类）职业教育（款）其他职业教育支出（项）：指本单位用于职业教育方面的其他支出。</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社会保障和就业（类）行政事业单位离退休（款）归口管理的行政单位离退休（项）：指本单位离退休人员的支出。</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社会保障和就业（类）行政事业单位离退休（款）事业单位离退休人员（项）：指本单位事业单位离退休人员提的支出。</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社会保障和就业（类）行政事业单位离退休（款）其他行政事业离退休支出（项）：指行政事业单位离退休人员的其他支出。</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结余分配：指事业单位按规定提取的职工福利基金、事业基金和缴纳的所得税，以及建设单位按规定应交回的基本建设竣工项目结余资金。</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年末结转和结余：指本年度或以前年度预算安排、因客观条件发生变化无法按原计划实施，需要延迟到以后年度按有关规定继续使用的资金。</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基本支出：指为保障机构正常运转、完成日常工作任务而发生的人员支出和公用支出。</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项目支出：指在基本支出之外为完成特定行政任务和事业发展目标所发生的支出</w:t>
      </w:r>
      <w:r>
        <w:rPr>
          <w:rFonts w:hint="eastAsia" w:ascii="仿宋_GB2312" w:hAnsi="Times New Roman" w:eastAsia="仿宋_GB2312" w:cs="Times New Roman"/>
          <w:sz w:val="32"/>
          <w:szCs w:val="32"/>
        </w:rPr>
        <w:t>。</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三公</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经费：</w:t>
      </w:r>
      <w:r>
        <w:rPr>
          <w:rFonts w:hint="eastAsia" w:ascii="仿宋_GB2312" w:hAnsi="Times New Roman" w:eastAsia="仿宋_GB2312" w:cs="Times New Roman"/>
          <w:sz w:val="32"/>
          <w:szCs w:val="32"/>
        </w:rPr>
        <w:t>纳入市财政预决算管理的“三公”经费，</w:t>
      </w:r>
      <w:r>
        <w:rPr>
          <w:rFonts w:ascii="仿宋_GB2312" w:hAnsi="Times New Roman" w:eastAsia="仿宋_GB2312" w:cs="Times New Roman"/>
          <w:sz w:val="32"/>
          <w:szCs w:val="32"/>
        </w:rPr>
        <w:t>是指本部门</w:t>
      </w:r>
      <w:r>
        <w:rPr>
          <w:rFonts w:hint="eastAsia" w:ascii="仿宋_GB2312" w:hAnsi="Times New Roman" w:eastAsia="仿宋_GB2312" w:cs="Times New Roman"/>
          <w:sz w:val="32"/>
          <w:szCs w:val="32"/>
        </w:rPr>
        <w:t>用</w:t>
      </w:r>
      <w:r>
        <w:rPr>
          <w:rFonts w:ascii="仿宋_GB2312" w:hAnsi="Times New Roman" w:eastAsia="仿宋_GB2312" w:cs="Times New Roman"/>
          <w:sz w:val="32"/>
          <w:szCs w:val="32"/>
        </w:rPr>
        <w:t>财政拨款安排的因公出国（境）费、公务用车购置及运行费和公务接待费。其中，因公出国（境）费</w:t>
      </w:r>
      <w:r>
        <w:rPr>
          <w:rFonts w:hint="eastAsia" w:ascii="仿宋_GB2312" w:hAnsi="Times New Roman" w:eastAsia="仿宋_GB2312" w:cs="Times New Roman"/>
          <w:sz w:val="32"/>
          <w:szCs w:val="32"/>
        </w:rPr>
        <w:t>反映</w:t>
      </w:r>
      <w:r>
        <w:rPr>
          <w:rFonts w:ascii="仿宋_GB2312" w:hAnsi="Times New Roman" w:eastAsia="仿宋_GB2312" w:cs="Times New Roman"/>
          <w:sz w:val="32"/>
          <w:szCs w:val="32"/>
        </w:rPr>
        <w:t>单位公务出国（境）的</w:t>
      </w:r>
      <w:r>
        <w:rPr>
          <w:rFonts w:hint="eastAsia" w:ascii="仿宋_GB2312" w:hAnsi="Times New Roman" w:eastAsia="仿宋_GB2312" w:cs="Times New Roman"/>
          <w:sz w:val="32"/>
          <w:szCs w:val="32"/>
        </w:rPr>
        <w:t>国际</w:t>
      </w:r>
      <w:r>
        <w:rPr>
          <w:rFonts w:ascii="仿宋_GB2312" w:hAnsi="Times New Roman" w:eastAsia="仿宋_GB2312" w:cs="Times New Roman"/>
          <w:sz w:val="32"/>
          <w:szCs w:val="32"/>
        </w:rPr>
        <w:t>旅费、</w:t>
      </w:r>
      <w:r>
        <w:rPr>
          <w:rFonts w:hint="eastAsia" w:ascii="仿宋_GB2312" w:hAnsi="Times New Roman" w:eastAsia="仿宋_GB2312" w:cs="Times New Roman"/>
          <w:sz w:val="32"/>
          <w:szCs w:val="32"/>
        </w:rPr>
        <w:t>国外城市间交通费、住宿费、伙食费、培训费、公杂费</w:t>
      </w:r>
      <w:r>
        <w:rPr>
          <w:rFonts w:ascii="仿宋_GB2312" w:hAnsi="Times New Roman" w:eastAsia="仿宋_GB2312" w:cs="Times New Roman"/>
          <w:sz w:val="32"/>
          <w:szCs w:val="32"/>
        </w:rPr>
        <w:t>等支出；公务用车购置及运行费</w:t>
      </w:r>
      <w:r>
        <w:rPr>
          <w:rFonts w:hint="eastAsia" w:ascii="仿宋_GB2312" w:hAnsi="Times New Roman" w:eastAsia="仿宋_GB2312" w:cs="Times New Roman"/>
          <w:sz w:val="32"/>
          <w:szCs w:val="32"/>
        </w:rPr>
        <w:t>反映</w:t>
      </w:r>
      <w:r>
        <w:rPr>
          <w:rFonts w:ascii="仿宋_GB2312" w:hAnsi="Times New Roman" w:eastAsia="仿宋_GB2312" w:cs="Times New Roman"/>
          <w:sz w:val="32"/>
          <w:szCs w:val="32"/>
        </w:rPr>
        <w:t>单位公务用车</w:t>
      </w:r>
      <w:r>
        <w:rPr>
          <w:rFonts w:hint="eastAsia" w:ascii="仿宋_GB2312" w:hAnsi="Times New Roman" w:eastAsia="仿宋_GB2312" w:cs="Times New Roman"/>
          <w:sz w:val="32"/>
          <w:szCs w:val="32"/>
        </w:rPr>
        <w:t>车辆</w:t>
      </w:r>
      <w:r>
        <w:rPr>
          <w:rFonts w:ascii="仿宋_GB2312" w:hAnsi="Times New Roman" w:eastAsia="仿宋_GB2312" w:cs="Times New Roman"/>
          <w:sz w:val="32"/>
          <w:szCs w:val="32"/>
        </w:rPr>
        <w:t>购置</w:t>
      </w:r>
      <w:r>
        <w:rPr>
          <w:rFonts w:hint="eastAsia" w:ascii="仿宋_GB2312" w:hAnsi="Times New Roman" w:eastAsia="仿宋_GB2312" w:cs="Times New Roman"/>
          <w:sz w:val="32"/>
          <w:szCs w:val="32"/>
        </w:rPr>
        <w:t>支出（含车辆购置税）</w:t>
      </w:r>
      <w:r>
        <w:rPr>
          <w:rFonts w:ascii="仿宋_GB2312" w:hAnsi="Times New Roman" w:eastAsia="仿宋_GB2312" w:cs="Times New Roman"/>
          <w:sz w:val="32"/>
          <w:szCs w:val="32"/>
        </w:rPr>
        <w:t>及租用费、燃料费、维修费、过路过桥费、保险费等支出；公务接待费指单位按规定开支的各类公务接待（含外宾接待）支出。</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rPr>
          <w:rFonts w:ascii="Times New Roman" w:hAnsi="Times New Roman" w:eastAsia="仿宋_GB2312" w:cs="Times New Roman"/>
          <w:sz w:val="32"/>
          <w:szCs w:val="32"/>
        </w:rPr>
      </w:pPr>
    </w:p>
    <w:p>
      <w:pPr>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第三部分 2015年部门决算表</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详见</w:t>
      </w:r>
      <w:r>
        <w:rPr>
          <w:rFonts w:hint="eastAsia" w:ascii="仿宋_GB2312" w:hAnsi="Times New Roman" w:eastAsia="仿宋_GB2312" w:cs="Times New Roman"/>
          <w:sz w:val="32"/>
          <w:szCs w:val="32"/>
        </w:rPr>
        <w:t>决算</w:t>
      </w:r>
      <w:r>
        <w:rPr>
          <w:rFonts w:hint="eastAsia" w:ascii="Times New Roman" w:hAnsi="Times New Roman" w:eastAsia="仿宋_GB2312" w:cs="Times New Roman"/>
          <w:sz w:val="32"/>
          <w:szCs w:val="32"/>
        </w:rPr>
        <w:t>表1-8，请参见附件。</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表号</w:t>
            </w:r>
          </w:p>
        </w:tc>
        <w:tc>
          <w:tcPr>
            <w:tcW w:w="6854" w:type="dxa"/>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决算表</w:t>
            </w:r>
            <w:r>
              <w:rPr>
                <w:rFonts w:ascii="Times New Roman" w:hAnsi="Times New Roman" w:eastAsia="仿宋_GB2312" w:cs="Times New Roman"/>
                <w:sz w:val="32"/>
                <w:szCs w:val="32"/>
              </w:rPr>
              <w:t>1</w:t>
            </w:r>
          </w:p>
        </w:tc>
        <w:tc>
          <w:tcPr>
            <w:tcW w:w="6854" w:type="dxa"/>
          </w:tcPr>
          <w:p>
            <w:pPr>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决算</w:t>
            </w:r>
            <w:r>
              <w:rPr>
                <w:rFonts w:hint="eastAsia" w:ascii="Times New Roman" w:hAnsi="Times New Roman" w:eastAsia="仿宋_GB2312" w:cs="Times New Roman"/>
                <w:sz w:val="32"/>
                <w:szCs w:val="32"/>
              </w:rPr>
              <w:t>表2</w:t>
            </w:r>
          </w:p>
        </w:tc>
        <w:tc>
          <w:tcPr>
            <w:tcW w:w="6854" w:type="dxa"/>
          </w:tcPr>
          <w:p>
            <w:pPr>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收入决算表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8" w:type="dxa"/>
          </w:tcPr>
          <w:p>
            <w:pPr>
              <w:jc w:val="center"/>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决算</w:t>
            </w:r>
            <w:r>
              <w:rPr>
                <w:rFonts w:hint="eastAsia" w:ascii="Times New Roman" w:hAnsi="Times New Roman" w:eastAsia="仿宋_GB2312" w:cs="Times New Roman"/>
                <w:sz w:val="32"/>
                <w:szCs w:val="32"/>
              </w:rPr>
              <w:t>表3</w:t>
            </w:r>
          </w:p>
        </w:tc>
        <w:tc>
          <w:tcPr>
            <w:tcW w:w="6854" w:type="dxa"/>
          </w:tcPr>
          <w:p>
            <w:pPr>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决算</w:t>
            </w:r>
            <w:r>
              <w:rPr>
                <w:rFonts w:hint="eastAsia" w:ascii="Times New Roman" w:hAnsi="Times New Roman" w:eastAsia="仿宋_GB2312" w:cs="Times New Roman"/>
                <w:sz w:val="32"/>
                <w:szCs w:val="32"/>
              </w:rPr>
              <w:t>表4</w:t>
            </w:r>
          </w:p>
        </w:tc>
        <w:tc>
          <w:tcPr>
            <w:tcW w:w="6854" w:type="dxa"/>
          </w:tcPr>
          <w:p>
            <w:pPr>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决算</w:t>
            </w:r>
            <w:r>
              <w:rPr>
                <w:rFonts w:hint="eastAsia" w:ascii="Times New Roman" w:hAnsi="Times New Roman" w:eastAsia="仿宋_GB2312" w:cs="Times New Roman"/>
                <w:sz w:val="32"/>
                <w:szCs w:val="32"/>
              </w:rPr>
              <w:t>表5</w:t>
            </w:r>
          </w:p>
        </w:tc>
        <w:tc>
          <w:tcPr>
            <w:tcW w:w="6854" w:type="dxa"/>
          </w:tcPr>
          <w:p>
            <w:pPr>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一般公共预算财政拨款支出决算表（功能分类）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决算</w:t>
            </w:r>
            <w:r>
              <w:rPr>
                <w:rFonts w:hint="eastAsia" w:ascii="Times New Roman" w:hAnsi="Times New Roman" w:eastAsia="仿宋_GB2312" w:cs="Times New Roman"/>
                <w:sz w:val="32"/>
                <w:szCs w:val="32"/>
              </w:rPr>
              <w:t>表6</w:t>
            </w:r>
          </w:p>
        </w:tc>
        <w:tc>
          <w:tcPr>
            <w:tcW w:w="6854" w:type="dxa"/>
          </w:tcPr>
          <w:p>
            <w:pPr>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一般公共预算财政拨款支出决算表（经济分类）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8" w:type="dxa"/>
          </w:tcPr>
          <w:p>
            <w:pPr>
              <w:jc w:val="center"/>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决算</w:t>
            </w:r>
            <w:r>
              <w:rPr>
                <w:rFonts w:hint="eastAsia" w:ascii="Times New Roman" w:hAnsi="Times New Roman" w:eastAsia="仿宋_GB2312" w:cs="Times New Roman"/>
                <w:sz w:val="32"/>
                <w:szCs w:val="32"/>
              </w:rPr>
              <w:t>表7</w:t>
            </w:r>
          </w:p>
        </w:tc>
        <w:tc>
          <w:tcPr>
            <w:tcW w:w="6854" w:type="dxa"/>
          </w:tcPr>
          <w:p>
            <w:pPr>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决算</w:t>
            </w:r>
            <w:r>
              <w:rPr>
                <w:rFonts w:hint="eastAsia" w:ascii="Times New Roman" w:hAnsi="Times New Roman" w:eastAsia="仿宋_GB2312" w:cs="Times New Roman"/>
                <w:sz w:val="32"/>
                <w:szCs w:val="32"/>
              </w:rPr>
              <w:t>表8</w:t>
            </w:r>
          </w:p>
        </w:tc>
        <w:tc>
          <w:tcPr>
            <w:tcW w:w="6854" w:type="dxa"/>
          </w:tcPr>
          <w:p>
            <w:pPr>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政府性基金预算财政拨款收入支出决算表</w:t>
            </w:r>
          </w:p>
        </w:tc>
      </w:tr>
    </w:tbl>
    <w:p>
      <w:pPr>
        <w:ind w:firstLine="640" w:firstLineChars="200"/>
        <w:jc w:val="left"/>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sectPr>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A15FC"/>
    <w:multiLevelType w:val="multilevel"/>
    <w:tmpl w:val="75CA15FC"/>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12"/>
    <w:rsid w:val="00091651"/>
    <w:rsid w:val="000D2D58"/>
    <w:rsid w:val="000D6C81"/>
    <w:rsid w:val="0010072A"/>
    <w:rsid w:val="00147F6C"/>
    <w:rsid w:val="001519AD"/>
    <w:rsid w:val="00156ACC"/>
    <w:rsid w:val="0016144D"/>
    <w:rsid w:val="00180F1F"/>
    <w:rsid w:val="001E60E3"/>
    <w:rsid w:val="00203959"/>
    <w:rsid w:val="00203E5A"/>
    <w:rsid w:val="00203FBC"/>
    <w:rsid w:val="00216625"/>
    <w:rsid w:val="002300D7"/>
    <w:rsid w:val="00256189"/>
    <w:rsid w:val="00267C10"/>
    <w:rsid w:val="002800B8"/>
    <w:rsid w:val="0028792A"/>
    <w:rsid w:val="002B5CF3"/>
    <w:rsid w:val="002E7906"/>
    <w:rsid w:val="002F04EF"/>
    <w:rsid w:val="002F40BE"/>
    <w:rsid w:val="00326CB1"/>
    <w:rsid w:val="003402E4"/>
    <w:rsid w:val="00347B34"/>
    <w:rsid w:val="003809AC"/>
    <w:rsid w:val="00381456"/>
    <w:rsid w:val="00382412"/>
    <w:rsid w:val="00396871"/>
    <w:rsid w:val="003F7791"/>
    <w:rsid w:val="0041378F"/>
    <w:rsid w:val="00451C48"/>
    <w:rsid w:val="00470393"/>
    <w:rsid w:val="004A1C5C"/>
    <w:rsid w:val="004A2B86"/>
    <w:rsid w:val="004E37FD"/>
    <w:rsid w:val="005122A7"/>
    <w:rsid w:val="005156A2"/>
    <w:rsid w:val="00521DC7"/>
    <w:rsid w:val="00534E44"/>
    <w:rsid w:val="00550794"/>
    <w:rsid w:val="00555053"/>
    <w:rsid w:val="00592CE7"/>
    <w:rsid w:val="005A1783"/>
    <w:rsid w:val="005B0BEE"/>
    <w:rsid w:val="005D20FD"/>
    <w:rsid w:val="005E22B8"/>
    <w:rsid w:val="005F1CEA"/>
    <w:rsid w:val="00645FE2"/>
    <w:rsid w:val="00647005"/>
    <w:rsid w:val="006641FD"/>
    <w:rsid w:val="00671B7E"/>
    <w:rsid w:val="00681FB1"/>
    <w:rsid w:val="006B03BF"/>
    <w:rsid w:val="006B541A"/>
    <w:rsid w:val="00702D73"/>
    <w:rsid w:val="00712D1F"/>
    <w:rsid w:val="007171AD"/>
    <w:rsid w:val="00744C8D"/>
    <w:rsid w:val="007822D5"/>
    <w:rsid w:val="007937E4"/>
    <w:rsid w:val="007E292D"/>
    <w:rsid w:val="008206E1"/>
    <w:rsid w:val="008408EC"/>
    <w:rsid w:val="00883E5C"/>
    <w:rsid w:val="008903A2"/>
    <w:rsid w:val="008B4575"/>
    <w:rsid w:val="008B5636"/>
    <w:rsid w:val="008C6D7B"/>
    <w:rsid w:val="008D1C3E"/>
    <w:rsid w:val="008D6AFE"/>
    <w:rsid w:val="008F6AEE"/>
    <w:rsid w:val="00900A36"/>
    <w:rsid w:val="00902728"/>
    <w:rsid w:val="00915EA7"/>
    <w:rsid w:val="00924D44"/>
    <w:rsid w:val="00970E9D"/>
    <w:rsid w:val="009A1C21"/>
    <w:rsid w:val="009A3482"/>
    <w:rsid w:val="009B5280"/>
    <w:rsid w:val="009C339A"/>
    <w:rsid w:val="009D3A9E"/>
    <w:rsid w:val="00A03DEE"/>
    <w:rsid w:val="00A111B0"/>
    <w:rsid w:val="00A344E0"/>
    <w:rsid w:val="00A43237"/>
    <w:rsid w:val="00A7207A"/>
    <w:rsid w:val="00AA727A"/>
    <w:rsid w:val="00AB2D9F"/>
    <w:rsid w:val="00AB4A48"/>
    <w:rsid w:val="00B071F5"/>
    <w:rsid w:val="00B113F5"/>
    <w:rsid w:val="00B15430"/>
    <w:rsid w:val="00B25565"/>
    <w:rsid w:val="00B329A5"/>
    <w:rsid w:val="00B73A19"/>
    <w:rsid w:val="00B7737B"/>
    <w:rsid w:val="00B81F23"/>
    <w:rsid w:val="00B87834"/>
    <w:rsid w:val="00B9715D"/>
    <w:rsid w:val="00BB4F05"/>
    <w:rsid w:val="00BD221B"/>
    <w:rsid w:val="00BD6A8F"/>
    <w:rsid w:val="00C2335E"/>
    <w:rsid w:val="00C57F59"/>
    <w:rsid w:val="00C62410"/>
    <w:rsid w:val="00C76610"/>
    <w:rsid w:val="00C86337"/>
    <w:rsid w:val="00CD2FD3"/>
    <w:rsid w:val="00D25B82"/>
    <w:rsid w:val="00D37959"/>
    <w:rsid w:val="00DA7C17"/>
    <w:rsid w:val="00DB55CE"/>
    <w:rsid w:val="00DD7EFD"/>
    <w:rsid w:val="00DE52A2"/>
    <w:rsid w:val="00DF26D6"/>
    <w:rsid w:val="00DF52EA"/>
    <w:rsid w:val="00E13867"/>
    <w:rsid w:val="00E13F0C"/>
    <w:rsid w:val="00E22E67"/>
    <w:rsid w:val="00E36EDD"/>
    <w:rsid w:val="00E60A59"/>
    <w:rsid w:val="00E66D5E"/>
    <w:rsid w:val="00E77156"/>
    <w:rsid w:val="00E83E39"/>
    <w:rsid w:val="00EA131A"/>
    <w:rsid w:val="00EB2B04"/>
    <w:rsid w:val="00EB2D63"/>
    <w:rsid w:val="00F22D1F"/>
    <w:rsid w:val="00F3563E"/>
    <w:rsid w:val="00F44F0E"/>
    <w:rsid w:val="00F46C79"/>
    <w:rsid w:val="00F628AB"/>
    <w:rsid w:val="00F83552"/>
    <w:rsid w:val="00FA06F8"/>
    <w:rsid w:val="00FA74EE"/>
    <w:rsid w:val="00FB7258"/>
    <w:rsid w:val="199E5F3D"/>
    <w:rsid w:val="20595BDF"/>
    <w:rsid w:val="40946129"/>
    <w:rsid w:val="76E00FB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No Spacing"/>
    <w:link w:val="9"/>
    <w:qFormat/>
    <w:uiPriority w:val="1"/>
    <w:rPr>
      <w:rFonts w:asciiTheme="minorHAnsi" w:hAnsiTheme="minorHAnsi" w:eastAsiaTheme="minorEastAsia" w:cstheme="minorBidi"/>
      <w:kern w:val="0"/>
      <w:sz w:val="22"/>
      <w:szCs w:val="22"/>
      <w:lang w:val="en-US" w:eastAsia="zh-CN" w:bidi="ar-SA"/>
    </w:rPr>
  </w:style>
  <w:style w:type="character" w:customStyle="1" w:styleId="9">
    <w:name w:val="无间隔 Char"/>
    <w:basedOn w:val="5"/>
    <w:link w:val="8"/>
    <w:uiPriority w:val="1"/>
    <w:rPr>
      <w:kern w:val="0"/>
      <w:sz w:val="22"/>
    </w:rPr>
  </w:style>
  <w:style w:type="character" w:customStyle="1" w:styleId="10">
    <w:name w:val="批注框文本 Char"/>
    <w:basedOn w:val="5"/>
    <w:link w:val="2"/>
    <w:semiHidden/>
    <w:uiPriority w:val="99"/>
    <w:rPr>
      <w:sz w:val="18"/>
      <w:szCs w:val="18"/>
    </w:rPr>
  </w:style>
  <w:style w:type="character" w:customStyle="1" w:styleId="11">
    <w:name w:val="页眉 Char"/>
    <w:basedOn w:val="5"/>
    <w:link w:val="4"/>
    <w:qFormat/>
    <w:uiPriority w:val="99"/>
    <w:rPr>
      <w:sz w:val="18"/>
      <w:szCs w:val="18"/>
    </w:rPr>
  </w:style>
  <w:style w:type="character" w:customStyle="1" w:styleId="12">
    <w:name w:val="页脚 Char"/>
    <w:basedOn w:val="5"/>
    <w:link w:val="3"/>
    <w:qFormat/>
    <w:uiPriority w:val="99"/>
    <w:rPr>
      <w:sz w:val="18"/>
      <w:szCs w:val="18"/>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B6C65A-B30D-4DDA-B15B-810F6874B5F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519</Words>
  <Characters>2962</Characters>
  <Lines>24</Lines>
  <Paragraphs>6</Paragraphs>
  <ScaleCrop>false</ScaleCrop>
  <LinksUpToDate>false</LinksUpToDate>
  <CharactersWithSpaces>3475</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2015-10-30T07:05:00Z</dcterms:created>
  <dc:creator>李峰</dc:creator>
  <cp:lastModifiedBy>dgsi</cp:lastModifiedBy>
  <cp:lastPrinted>2016-09-14T07:31:00Z</cp:lastPrinted>
  <dcterms:modified xsi:type="dcterms:W3CDTF">2016-09-27T00:33:56Z</dcterms:modified>
  <dc:title>2015年东莞市军队离休退休干部休养所部门决算   </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